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5BAF" w14:textId="77777777" w:rsidR="00872FDF" w:rsidRPr="00872FDF" w:rsidRDefault="00872FDF" w:rsidP="00872FDF">
      <w:pPr>
        <w:spacing w:after="0" w:line="240" w:lineRule="auto"/>
        <w:jc w:val="center"/>
        <w:rPr>
          <w:rFonts w:eastAsia="Times New Roman" w:cs="Times New Roman"/>
          <w:szCs w:val="24"/>
          <w:lang w:eastAsia="es-CO"/>
        </w:rPr>
      </w:pPr>
      <w:r w:rsidRPr="00872FDF">
        <w:rPr>
          <w:rFonts w:eastAsia="Times New Roman" w:cs="Times New Roman"/>
          <w:b/>
          <w:bCs/>
          <w:szCs w:val="24"/>
          <w:lang w:eastAsia="es-CO"/>
        </w:rPr>
        <w:t>OFICIO Nº 036306</w:t>
      </w:r>
    </w:p>
    <w:p w14:paraId="3DC82F87" w14:textId="77777777" w:rsidR="00872FDF" w:rsidRPr="00872FDF" w:rsidRDefault="00872FDF" w:rsidP="00872FDF">
      <w:pPr>
        <w:spacing w:after="0" w:line="240" w:lineRule="auto"/>
        <w:jc w:val="center"/>
        <w:rPr>
          <w:rFonts w:eastAsia="Times New Roman" w:cs="Times New Roman"/>
          <w:szCs w:val="24"/>
          <w:lang w:eastAsia="es-CO"/>
        </w:rPr>
      </w:pPr>
      <w:r w:rsidRPr="00872FDF">
        <w:rPr>
          <w:rFonts w:eastAsia="Times New Roman" w:cs="Times New Roman"/>
          <w:b/>
          <w:bCs/>
          <w:szCs w:val="24"/>
          <w:lang w:eastAsia="es-CO"/>
        </w:rPr>
        <w:t>23-12-2015</w:t>
      </w:r>
    </w:p>
    <w:p w14:paraId="43D4178C" w14:textId="77777777" w:rsidR="00872FDF" w:rsidRPr="00872FDF" w:rsidRDefault="00872FDF" w:rsidP="00872FDF">
      <w:pPr>
        <w:spacing w:after="0" w:line="240" w:lineRule="auto"/>
        <w:jc w:val="center"/>
        <w:rPr>
          <w:rFonts w:eastAsia="Times New Roman" w:cs="Times New Roman"/>
          <w:szCs w:val="24"/>
          <w:lang w:eastAsia="es-CO"/>
        </w:rPr>
      </w:pPr>
      <w:r w:rsidRPr="00872FDF">
        <w:rPr>
          <w:rFonts w:eastAsia="Times New Roman" w:cs="Times New Roman"/>
          <w:b/>
          <w:bCs/>
          <w:szCs w:val="24"/>
          <w:lang w:eastAsia="es-CO"/>
        </w:rPr>
        <w:t>DIAN</w:t>
      </w:r>
    </w:p>
    <w:p w14:paraId="3A9836F8"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 </w:t>
      </w:r>
    </w:p>
    <w:p w14:paraId="7C818B27"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 </w:t>
      </w:r>
    </w:p>
    <w:p w14:paraId="10C446D0"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Subdirección de Gestión Normativa y Doctrina</w:t>
      </w:r>
    </w:p>
    <w:p w14:paraId="54DD65EA"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Bogotá, D. C.</w:t>
      </w:r>
    </w:p>
    <w:p w14:paraId="4C9B9F5E"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100208221-001604</w:t>
      </w:r>
    </w:p>
    <w:p w14:paraId="093DBF6E"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20E5901E"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Señor</w:t>
      </w:r>
    </w:p>
    <w:p w14:paraId="21D6885F"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VÍCTOR GONZALO CASTRILLÓN MORA</w:t>
      </w:r>
    </w:p>
    <w:p w14:paraId="3E3A6434" w14:textId="77777777" w:rsidR="00872FDF" w:rsidRPr="00872FDF" w:rsidRDefault="00872FDF" w:rsidP="00872FDF">
      <w:pPr>
        <w:spacing w:after="0" w:line="240" w:lineRule="auto"/>
        <w:jc w:val="both"/>
        <w:rPr>
          <w:rFonts w:eastAsia="Times New Roman" w:cs="Times New Roman"/>
          <w:szCs w:val="24"/>
          <w:lang w:eastAsia="es-CO"/>
        </w:rPr>
      </w:pPr>
      <w:hyperlink r:id="rId4" w:history="1">
        <w:r w:rsidRPr="00872FDF">
          <w:rPr>
            <w:rFonts w:eastAsia="Times New Roman" w:cs="Times New Roman"/>
            <w:szCs w:val="24"/>
            <w:lang w:eastAsia="es-CO"/>
          </w:rPr>
          <w:t>gcastrillon67@hotmail.com</w:t>
        </w:r>
      </w:hyperlink>
    </w:p>
    <w:p w14:paraId="6122E180"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xml:space="preserve">Calle 32N N° 4-38 Barrio </w:t>
      </w:r>
      <w:proofErr w:type="spellStart"/>
      <w:r w:rsidRPr="00872FDF">
        <w:rPr>
          <w:rFonts w:eastAsia="Times New Roman" w:cs="Times New Roman"/>
          <w:szCs w:val="24"/>
          <w:lang w:eastAsia="es-CO"/>
        </w:rPr>
        <w:t>Yambitará</w:t>
      </w:r>
      <w:proofErr w:type="spellEnd"/>
    </w:p>
    <w:p w14:paraId="1231D7B3"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Popayán (Cauca)</w:t>
      </w:r>
      <w:bookmarkStart w:id="0" w:name="_GoBack"/>
      <w:bookmarkEnd w:id="0"/>
    </w:p>
    <w:p w14:paraId="1D2CAC98"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 </w:t>
      </w:r>
    </w:p>
    <w:p w14:paraId="55E61065"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Referencia: </w:t>
      </w:r>
      <w:r w:rsidRPr="00872FDF">
        <w:rPr>
          <w:rFonts w:eastAsia="Times New Roman" w:cs="Times New Roman"/>
          <w:szCs w:val="24"/>
          <w:lang w:eastAsia="es-CO"/>
        </w:rPr>
        <w:t>Aclaración del Oficio número 033105 del 18 de noviembre de 2015</w:t>
      </w:r>
    </w:p>
    <w:p w14:paraId="760FCFF9"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57AA8921"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Tema:</w:t>
      </w:r>
      <w:r w:rsidRPr="00872FDF">
        <w:rPr>
          <w:rFonts w:eastAsia="Times New Roman" w:cs="Times New Roman"/>
          <w:szCs w:val="24"/>
          <w:lang w:eastAsia="es-CO"/>
        </w:rPr>
        <w:t> Impuesto sobre la renta y complementarios</w:t>
      </w:r>
    </w:p>
    <w:p w14:paraId="445B92A0"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Descriptores:</w:t>
      </w:r>
      <w:r w:rsidRPr="00872FDF">
        <w:rPr>
          <w:rFonts w:eastAsia="Times New Roman" w:cs="Times New Roman"/>
          <w:szCs w:val="24"/>
          <w:lang w:eastAsia="es-CO"/>
        </w:rPr>
        <w:t> Retención en la fuente - Pagos por concepto de dependientes</w:t>
      </w:r>
    </w:p>
    <w:p w14:paraId="0814E396"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Fuentes formales:</w:t>
      </w:r>
      <w:r w:rsidRPr="00872FDF">
        <w:rPr>
          <w:rFonts w:eastAsia="Times New Roman" w:cs="Times New Roman"/>
          <w:szCs w:val="24"/>
          <w:lang w:eastAsia="es-CO"/>
        </w:rPr>
        <w:t> Oficios número 036037 del 14 de junio de 2013 y número 039876 del 28 de junio de 2013 y número 073384 del 18 de noviembre de 2013.</w:t>
      </w:r>
    </w:p>
    <w:p w14:paraId="246BB4B4"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5300349B"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49EF08A2"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Cordial saludo, señor Castrillón:</w:t>
      </w:r>
    </w:p>
    <w:p w14:paraId="722AFF06"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768670A7"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14:paraId="1E9CB107"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7C4024D8"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Mediante el radicado de la referencia consultó en su momento si era viable jurídicamente para un contratista, clasificado como empleado, disminuir de la base de retención los pagos efectuados por concepto de dependientes.</w:t>
      </w:r>
    </w:p>
    <w:p w14:paraId="43D2615D"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78EE0007"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Sobre el particular, este Despacho manifestó mediante Oficio número 033105 del 18 de noviembre de 2015 que </w:t>
      </w:r>
      <w:r w:rsidRPr="00872FDF">
        <w:rPr>
          <w:rFonts w:eastAsia="Times New Roman" w:cs="Times New Roman"/>
          <w:i/>
          <w:iCs/>
          <w:szCs w:val="24"/>
          <w:lang w:eastAsia="es-CO"/>
        </w:rPr>
        <w:t>“[s]</w:t>
      </w:r>
      <w:proofErr w:type="spellStart"/>
      <w:r w:rsidRPr="00872FDF">
        <w:rPr>
          <w:rFonts w:eastAsia="Times New Roman" w:cs="Times New Roman"/>
          <w:i/>
          <w:iCs/>
          <w:szCs w:val="24"/>
          <w:lang w:eastAsia="es-CO"/>
        </w:rPr>
        <w:t>olo</w:t>
      </w:r>
      <w:proofErr w:type="spellEnd"/>
      <w:r w:rsidRPr="00872FDF">
        <w:rPr>
          <w:rFonts w:eastAsia="Times New Roman" w:cs="Times New Roman"/>
          <w:i/>
          <w:iCs/>
          <w:szCs w:val="24"/>
          <w:lang w:eastAsia="es-CO"/>
        </w:rPr>
        <w:t xml:space="preserve"> es viable para la persona natural, clasificada como empleado, disminuir la base de retención con los pagos efectuados por concepto de dependientes </w:t>
      </w:r>
      <w:r w:rsidRPr="00872FDF">
        <w:rPr>
          <w:rFonts w:eastAsia="Times New Roman" w:cs="Times New Roman"/>
          <w:b/>
          <w:bCs/>
          <w:i/>
          <w:iCs/>
          <w:szCs w:val="24"/>
          <w:lang w:eastAsia="es-CO"/>
        </w:rPr>
        <w:t>en tanto cuente con vínculo laboral o legal y reglamentario; de esta manera, dicha disminución solo será aplicable sobre los ingresos que tengan origen en los referidos vínculos</w:t>
      </w:r>
      <w:proofErr w:type="gramStart"/>
      <w:r w:rsidRPr="00872FDF">
        <w:rPr>
          <w:rFonts w:eastAsia="Times New Roman" w:cs="Times New Roman"/>
          <w:i/>
          <w:iCs/>
          <w:szCs w:val="24"/>
          <w:lang w:eastAsia="es-CO"/>
        </w:rPr>
        <w:t>”</w:t>
      </w:r>
      <w:r w:rsidRPr="00872FDF">
        <w:rPr>
          <w:rFonts w:eastAsia="Times New Roman" w:cs="Times New Roman"/>
          <w:szCs w:val="24"/>
          <w:lang w:eastAsia="es-CO"/>
        </w:rPr>
        <w:t>(</w:t>
      </w:r>
      <w:proofErr w:type="gramEnd"/>
      <w:r w:rsidRPr="00872FDF">
        <w:rPr>
          <w:rFonts w:eastAsia="Times New Roman" w:cs="Times New Roman"/>
          <w:szCs w:val="24"/>
          <w:lang w:eastAsia="es-CO"/>
        </w:rPr>
        <w:t>negrilla fuera de texto).</w:t>
      </w:r>
    </w:p>
    <w:p w14:paraId="5D84052D"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2CC77A46"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No obstante, partiendo de una interpretación gramatical del </w:t>
      </w:r>
      <w:hyperlink r:id="rId5" w:tooltip="Estatuto Tributario CETA" w:history="1">
        <w:r w:rsidRPr="00872FDF">
          <w:rPr>
            <w:rFonts w:eastAsia="Times New Roman" w:cs="Times New Roman"/>
            <w:szCs w:val="24"/>
            <w:lang w:eastAsia="es-CO"/>
          </w:rPr>
          <w:t>artículo 387</w:t>
        </w:r>
      </w:hyperlink>
      <w:r w:rsidRPr="00872FDF">
        <w:rPr>
          <w:rFonts w:eastAsia="Times New Roman" w:cs="Times New Roman"/>
          <w:szCs w:val="24"/>
          <w:lang w:eastAsia="es-CO"/>
        </w:rPr>
        <w:t> del Estatuto Tributario dicho pronunciamiento omitió reiterada doctrina de esta Entidad a partir de la cual se ha reconocido abiertamente la posibilidad para el contratista de deducir de su base de retención, entre otros factores, los pagos consultados, con ocasión de la reforma introducida por la Ley 1607 de 2012 al impuesto sobre la renta y complementario en materia de personas naturales.</w:t>
      </w:r>
    </w:p>
    <w:p w14:paraId="7BAA8A9F"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5894E2A2"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En efecto, en el Oficio número 036037 del 14 de junio de 2013, se indicó:</w:t>
      </w:r>
    </w:p>
    <w:p w14:paraId="62C737D7"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0FB62EE4"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si el contratista clasifica en la categoría tributaria de empleado, le aplica a partir del 1° de enero de 2013, la tabla de retención en la fuente contenida en el </w:t>
      </w:r>
      <w:hyperlink r:id="rId6"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del Estatuto Tributario y </w:t>
      </w:r>
      <w:r w:rsidRPr="00872FDF">
        <w:rPr>
          <w:rFonts w:eastAsia="Times New Roman" w:cs="Times New Roman"/>
          <w:b/>
          <w:bCs/>
          <w:i/>
          <w:iCs/>
          <w:szCs w:val="24"/>
          <w:lang w:eastAsia="es-CO"/>
        </w:rPr>
        <w:t xml:space="preserve">para determinar la base de retención, el agente retenedor debe </w:t>
      </w:r>
      <w:r w:rsidRPr="00872FDF">
        <w:rPr>
          <w:rFonts w:eastAsia="Times New Roman" w:cs="Times New Roman"/>
          <w:b/>
          <w:bCs/>
          <w:i/>
          <w:iCs/>
          <w:szCs w:val="24"/>
          <w:lang w:eastAsia="es-CO"/>
        </w:rPr>
        <w:lastRenderedPageBreak/>
        <w:t>tener en cuenta las siguientes disposiciones</w:t>
      </w:r>
      <w:r w:rsidRPr="00872FDF">
        <w:rPr>
          <w:rFonts w:eastAsia="Times New Roman" w:cs="Times New Roman"/>
          <w:i/>
          <w:iCs/>
          <w:szCs w:val="24"/>
          <w:lang w:eastAsia="es-CO"/>
        </w:rPr>
        <w:t>: artículos </w:t>
      </w:r>
      <w:hyperlink r:id="rId7" w:tooltip="Estatuto Tributario CETA" w:history="1">
        <w:r w:rsidRPr="00872FDF">
          <w:rPr>
            <w:rFonts w:eastAsia="Times New Roman" w:cs="Times New Roman"/>
            <w:i/>
            <w:iCs/>
            <w:szCs w:val="24"/>
            <w:lang w:eastAsia="es-CO"/>
          </w:rPr>
          <w:t>119</w:t>
        </w:r>
      </w:hyperlink>
      <w:r w:rsidRPr="00872FDF">
        <w:rPr>
          <w:rFonts w:eastAsia="Times New Roman" w:cs="Times New Roman"/>
          <w:i/>
          <w:iCs/>
          <w:szCs w:val="24"/>
          <w:lang w:eastAsia="es-CO"/>
        </w:rPr>
        <w:t>, </w:t>
      </w:r>
      <w:hyperlink r:id="rId8" w:tooltip="Estatuto Tributario CETA" w:history="1">
        <w:r w:rsidRPr="00872FDF">
          <w:rPr>
            <w:rFonts w:eastAsia="Times New Roman" w:cs="Times New Roman"/>
            <w:i/>
            <w:iCs/>
            <w:szCs w:val="24"/>
            <w:lang w:eastAsia="es-CO"/>
          </w:rPr>
          <w:t>126-1</w:t>
        </w:r>
      </w:hyperlink>
      <w:r w:rsidRPr="00872FDF">
        <w:rPr>
          <w:rFonts w:eastAsia="Times New Roman" w:cs="Times New Roman"/>
          <w:i/>
          <w:iCs/>
          <w:szCs w:val="24"/>
          <w:lang w:eastAsia="es-CO"/>
        </w:rPr>
        <w:t>, </w:t>
      </w:r>
      <w:hyperlink r:id="rId9" w:tooltip="Estatuto Tributario CETA" w:history="1">
        <w:r w:rsidRPr="00872FDF">
          <w:rPr>
            <w:rFonts w:eastAsia="Times New Roman" w:cs="Times New Roman"/>
            <w:i/>
            <w:iCs/>
            <w:szCs w:val="24"/>
            <w:lang w:eastAsia="es-CO"/>
          </w:rPr>
          <w:t>126-4</w:t>
        </w:r>
      </w:hyperlink>
      <w:r w:rsidRPr="00872FDF">
        <w:rPr>
          <w:rFonts w:eastAsia="Times New Roman" w:cs="Times New Roman"/>
          <w:i/>
          <w:iCs/>
          <w:szCs w:val="24"/>
          <w:lang w:eastAsia="es-CO"/>
        </w:rPr>
        <w:t> y </w:t>
      </w:r>
      <w:hyperlink r:id="rId10" w:tooltip="Estatuto Tributario CETA" w:history="1">
        <w:r w:rsidRPr="00872FDF">
          <w:rPr>
            <w:rFonts w:eastAsia="Times New Roman" w:cs="Times New Roman"/>
            <w:i/>
            <w:iCs/>
            <w:szCs w:val="24"/>
            <w:lang w:eastAsia="es-CO"/>
          </w:rPr>
          <w:t>387</w:t>
        </w:r>
      </w:hyperlink>
      <w:r w:rsidRPr="00872FDF">
        <w:rPr>
          <w:rFonts w:eastAsia="Times New Roman" w:cs="Times New Roman"/>
          <w:i/>
          <w:iCs/>
          <w:szCs w:val="24"/>
          <w:lang w:eastAsia="es-CO"/>
        </w:rPr>
        <w:t> del Estatuto Tributario y artículo 2º de los Decretos Reglamentarios 0099 y 1070 de 2013”</w:t>
      </w:r>
      <w:r w:rsidRPr="00872FDF">
        <w:rPr>
          <w:rFonts w:eastAsia="Times New Roman" w:cs="Times New Roman"/>
          <w:szCs w:val="24"/>
          <w:lang w:eastAsia="es-CO"/>
        </w:rPr>
        <w:t>(negrilla fuera de texto).</w:t>
      </w:r>
    </w:p>
    <w:p w14:paraId="5B319700"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187AC15B"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Asimismo, en el Oficio número 039876 del 28 de junio de 2013, se expresó:</w:t>
      </w:r>
    </w:p>
    <w:p w14:paraId="3858782E"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3507586D"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“1. Contratistas que clasifican en la categoría tributaria de empleado.</w:t>
      </w:r>
    </w:p>
    <w:p w14:paraId="75D80DA9"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w:t>
      </w:r>
    </w:p>
    <w:p w14:paraId="7C90F1D8"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1.1. Base de retención para aplicación de la tabla del </w:t>
      </w:r>
      <w:hyperlink r:id="rId11"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del Estatuto Tributario:</w:t>
      </w:r>
    </w:p>
    <w:p w14:paraId="5F9AE992"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54FF7ADA"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Al total de los pagos o abonos en cuenta efectuados en el respectivo mes se podrán restar los siguientes conceptos: las deducciones y las rentas exentas. A este subtotal, se resta el veinticinco por ciento (25%) del mismo a título de renta exenta, sin que exceda de doscientas cuarenta (240) UVT mensuales (equivalentes a $ 6.442.000). El valor resultante se convierte en UVT y se enfrenta a la tabla contenida en el </w:t>
      </w:r>
      <w:hyperlink r:id="rId12"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del Estatuto Tributario para establecer el monto de la retención en la fuente.</w:t>
      </w:r>
    </w:p>
    <w:p w14:paraId="6818DDDA"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1D03DA2D"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Para el efecto, las deducciones son:</w:t>
      </w:r>
    </w:p>
    <w:p w14:paraId="37D5ABFE"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1B33F93B"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w:t>
      </w:r>
    </w:p>
    <w:p w14:paraId="33ED0AA0"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Hasta el diez por ciento (10%) de los ingresos brutos, </w:t>
      </w:r>
      <w:r w:rsidRPr="00872FDF">
        <w:rPr>
          <w:rFonts w:eastAsia="Times New Roman" w:cs="Times New Roman"/>
          <w:b/>
          <w:bCs/>
          <w:i/>
          <w:iCs/>
          <w:szCs w:val="24"/>
          <w:lang w:eastAsia="es-CO"/>
        </w:rPr>
        <w:t>por concepto de dependientes</w:t>
      </w:r>
      <w:r w:rsidRPr="00872FDF">
        <w:rPr>
          <w:rFonts w:eastAsia="Times New Roman" w:cs="Times New Roman"/>
          <w:i/>
          <w:iCs/>
          <w:szCs w:val="24"/>
          <w:lang w:eastAsia="es-CO"/>
        </w:rPr>
        <w:t>, sin exceder de treinta y dos (32) UVT mensuales (equivalentes a $859.000) (</w:t>
      </w:r>
      <w:hyperlink r:id="rId13" w:tooltip="Estatuto Tributario CETA" w:history="1">
        <w:r w:rsidRPr="00872FDF">
          <w:rPr>
            <w:rFonts w:eastAsia="Times New Roman" w:cs="Times New Roman"/>
            <w:i/>
            <w:iCs/>
            <w:szCs w:val="24"/>
            <w:lang w:eastAsia="es-CO"/>
          </w:rPr>
          <w:t>artículo 387</w:t>
        </w:r>
      </w:hyperlink>
      <w:r w:rsidRPr="00872FDF">
        <w:rPr>
          <w:rFonts w:eastAsia="Times New Roman" w:cs="Times New Roman"/>
          <w:i/>
          <w:iCs/>
          <w:szCs w:val="24"/>
          <w:lang w:eastAsia="es-CO"/>
        </w:rPr>
        <w:t> E.T.).</w:t>
      </w:r>
    </w:p>
    <w:p w14:paraId="27BD6CD3"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w:t>
      </w:r>
    </w:p>
    <w:p w14:paraId="2904A62F"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32681026"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1.2. Base de retención para aplicación de la tabla de retención mínima del </w:t>
      </w:r>
      <w:hyperlink r:id="rId14" w:tooltip="Estatuto Tributario CETA" w:history="1">
        <w:r w:rsidRPr="00872FDF">
          <w:rPr>
            <w:rFonts w:eastAsia="Times New Roman" w:cs="Times New Roman"/>
            <w:i/>
            <w:iCs/>
            <w:szCs w:val="24"/>
            <w:lang w:eastAsia="es-CO"/>
          </w:rPr>
          <w:t>artículo 384</w:t>
        </w:r>
      </w:hyperlink>
      <w:r w:rsidRPr="00872FDF">
        <w:rPr>
          <w:rFonts w:eastAsia="Times New Roman" w:cs="Times New Roman"/>
          <w:i/>
          <w:iCs/>
          <w:szCs w:val="24"/>
          <w:lang w:eastAsia="es-CO"/>
        </w:rPr>
        <w:t> del Estatuto Tributario:</w:t>
      </w:r>
    </w:p>
    <w:p w14:paraId="5D4048AF"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06315B56"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xml:space="preserve">Al total de los pagos o abonos en cuenta mensuales o </w:t>
      </w:r>
      <w:proofErr w:type="spellStart"/>
      <w:r w:rsidRPr="00872FDF">
        <w:rPr>
          <w:rFonts w:eastAsia="Times New Roman" w:cs="Times New Roman"/>
          <w:i/>
          <w:iCs/>
          <w:szCs w:val="24"/>
          <w:lang w:eastAsia="es-CO"/>
        </w:rPr>
        <w:t>mensualizados</w:t>
      </w:r>
      <w:proofErr w:type="spellEnd"/>
      <w:r w:rsidRPr="00872FDF">
        <w:rPr>
          <w:rFonts w:eastAsia="Times New Roman" w:cs="Times New Roman"/>
          <w:i/>
          <w:iCs/>
          <w:szCs w:val="24"/>
          <w:lang w:eastAsia="es-CO"/>
        </w:rPr>
        <w:t xml:space="preserve"> se restan únicamente los aportes obligatorios al sistema general de seguridad social, a saber: salud, pensiones y riesgos laborales a cargo del empleado. El valor resultante se convierte en UVT y se enfrenta a la tabla contenida en el </w:t>
      </w:r>
      <w:hyperlink r:id="rId15" w:tooltip="Estatuto Tributario CETA" w:history="1">
        <w:r w:rsidRPr="00872FDF">
          <w:rPr>
            <w:rFonts w:eastAsia="Times New Roman" w:cs="Times New Roman"/>
            <w:i/>
            <w:iCs/>
            <w:szCs w:val="24"/>
            <w:lang w:eastAsia="es-CO"/>
          </w:rPr>
          <w:t>artículo 384</w:t>
        </w:r>
      </w:hyperlink>
      <w:r w:rsidRPr="00872FDF">
        <w:rPr>
          <w:rFonts w:eastAsia="Times New Roman" w:cs="Times New Roman"/>
          <w:i/>
          <w:iCs/>
          <w:szCs w:val="24"/>
          <w:lang w:eastAsia="es-CO"/>
        </w:rPr>
        <w:t> del Estatuto Tributario para establecer el monto de la retención en la fuente.</w:t>
      </w:r>
    </w:p>
    <w:p w14:paraId="2E89AC17"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729BAA85"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Si la retención que arroja la tabla del </w:t>
      </w:r>
      <w:hyperlink r:id="rId16"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es inferior a la de la tabla del </w:t>
      </w:r>
      <w:hyperlink r:id="rId17" w:tooltip="Estatuto Tributario CETA" w:history="1">
        <w:r w:rsidRPr="00872FDF">
          <w:rPr>
            <w:rFonts w:eastAsia="Times New Roman" w:cs="Times New Roman"/>
            <w:i/>
            <w:iCs/>
            <w:szCs w:val="24"/>
            <w:lang w:eastAsia="es-CO"/>
          </w:rPr>
          <w:t>artículo 384</w:t>
        </w:r>
      </w:hyperlink>
      <w:r w:rsidRPr="00872FDF">
        <w:rPr>
          <w:rFonts w:eastAsia="Times New Roman" w:cs="Times New Roman"/>
          <w:i/>
          <w:iCs/>
          <w:szCs w:val="24"/>
          <w:lang w:eastAsia="es-CO"/>
        </w:rPr>
        <w:t>, se debe practicar la retención del artículo 384 que es la retención mínima. Si la retención que arroja la tabla del </w:t>
      </w:r>
      <w:hyperlink r:id="rId18"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es superior a la de la tabla del </w:t>
      </w:r>
      <w:hyperlink r:id="rId19" w:tooltip="Estatuto Tributario CETA" w:history="1">
        <w:r w:rsidRPr="00872FDF">
          <w:rPr>
            <w:rFonts w:eastAsia="Times New Roman" w:cs="Times New Roman"/>
            <w:i/>
            <w:iCs/>
            <w:szCs w:val="24"/>
            <w:lang w:eastAsia="es-CO"/>
          </w:rPr>
          <w:t>artículo 384</w:t>
        </w:r>
      </w:hyperlink>
      <w:r w:rsidRPr="00872FDF">
        <w:rPr>
          <w:rFonts w:eastAsia="Times New Roman" w:cs="Times New Roman"/>
          <w:i/>
          <w:iCs/>
          <w:szCs w:val="24"/>
          <w:lang w:eastAsia="es-CO"/>
        </w:rPr>
        <w:t>, se debe practicar la retención del</w:t>
      </w:r>
      <w:r>
        <w:rPr>
          <w:rFonts w:eastAsia="Times New Roman" w:cs="Times New Roman"/>
          <w:i/>
          <w:iCs/>
          <w:szCs w:val="24"/>
          <w:lang w:eastAsia="es-CO"/>
        </w:rPr>
        <w:t xml:space="preserve"> </w:t>
      </w:r>
      <w:hyperlink r:id="rId20" w:tooltip="Estatuto Tributario CETA" w:history="1">
        <w:r w:rsidRPr="00872FDF">
          <w:rPr>
            <w:rFonts w:eastAsia="Times New Roman" w:cs="Times New Roman"/>
            <w:i/>
            <w:iCs/>
            <w:szCs w:val="24"/>
            <w:lang w:eastAsia="es-CO"/>
          </w:rPr>
          <w:t>artículo 383</w:t>
        </w:r>
      </w:hyperlink>
      <w:r w:rsidRPr="00872FDF">
        <w:rPr>
          <w:rFonts w:eastAsia="Times New Roman" w:cs="Times New Roman"/>
          <w:i/>
          <w:iCs/>
          <w:szCs w:val="24"/>
          <w:lang w:eastAsia="es-CO"/>
        </w:rPr>
        <w:t>”. </w:t>
      </w:r>
      <w:r w:rsidRPr="00872FDF">
        <w:rPr>
          <w:rFonts w:eastAsia="Times New Roman" w:cs="Times New Roman"/>
          <w:szCs w:val="24"/>
          <w:lang w:eastAsia="es-CO"/>
        </w:rPr>
        <w:t>(Negrilla fuera de texto).</w:t>
      </w:r>
    </w:p>
    <w:p w14:paraId="58E9AB0C"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1753D995"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También en el Oficio número 073384 del 18 de noviembre de 2013, se concluyó:</w:t>
      </w:r>
    </w:p>
    <w:p w14:paraId="06CEE407"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w:t>
      </w:r>
    </w:p>
    <w:p w14:paraId="4A0E8B2D" w14:textId="77777777" w:rsidR="00872FDF" w:rsidRPr="00872FDF" w:rsidRDefault="00872FDF" w:rsidP="00872FDF">
      <w:pPr>
        <w:spacing w:after="0" w:line="240" w:lineRule="auto"/>
        <w:ind w:left="284"/>
        <w:jc w:val="both"/>
        <w:rPr>
          <w:rFonts w:eastAsia="Times New Roman" w:cs="Times New Roman"/>
          <w:szCs w:val="24"/>
          <w:lang w:eastAsia="es-CO"/>
        </w:rPr>
      </w:pPr>
      <w:r w:rsidRPr="00872FDF">
        <w:rPr>
          <w:rFonts w:eastAsia="Times New Roman" w:cs="Times New Roman"/>
          <w:i/>
          <w:iCs/>
          <w:szCs w:val="24"/>
          <w:lang w:eastAsia="es-CO"/>
        </w:rPr>
        <w:t>“(…) a los pagos o abonos en cuenta que se realicen a las personas naturales que presten sus servicios en ejercicio de profesiones liberales cuyos ingresos provienen del ejercicio de dicha actividad en un 80% o más, </w:t>
      </w:r>
      <w:r w:rsidRPr="00872FDF">
        <w:rPr>
          <w:rFonts w:eastAsia="Times New Roman" w:cs="Times New Roman"/>
          <w:b/>
          <w:bCs/>
          <w:i/>
          <w:iCs/>
          <w:szCs w:val="24"/>
          <w:lang w:eastAsia="es-CO"/>
        </w:rPr>
        <w:t>le son aplicables las disposiciones de retención en la fuente para empleados consagrados en los artículos </w:t>
      </w:r>
      <w:hyperlink r:id="rId21" w:tooltip="Estatuto Tributario CETA" w:history="1">
        <w:r w:rsidRPr="00872FDF">
          <w:rPr>
            <w:rFonts w:eastAsia="Times New Roman" w:cs="Times New Roman"/>
            <w:b/>
            <w:bCs/>
            <w:i/>
            <w:iCs/>
            <w:szCs w:val="24"/>
            <w:lang w:eastAsia="es-CO"/>
          </w:rPr>
          <w:t>383</w:t>
        </w:r>
      </w:hyperlink>
      <w:r w:rsidRPr="00872FDF">
        <w:rPr>
          <w:rFonts w:eastAsia="Times New Roman" w:cs="Times New Roman"/>
          <w:b/>
          <w:bCs/>
          <w:i/>
          <w:iCs/>
          <w:szCs w:val="24"/>
          <w:lang w:eastAsia="es-CO"/>
        </w:rPr>
        <w:t>, </w:t>
      </w:r>
      <w:hyperlink r:id="rId22" w:tooltip="Estatuto Tributario CETA" w:history="1">
        <w:r w:rsidRPr="00872FDF">
          <w:rPr>
            <w:rFonts w:eastAsia="Times New Roman" w:cs="Times New Roman"/>
            <w:b/>
            <w:bCs/>
            <w:i/>
            <w:iCs/>
            <w:szCs w:val="24"/>
            <w:lang w:eastAsia="es-CO"/>
          </w:rPr>
          <w:t>384</w:t>
        </w:r>
      </w:hyperlink>
      <w:r w:rsidRPr="00872FDF">
        <w:rPr>
          <w:rFonts w:eastAsia="Times New Roman" w:cs="Times New Roman"/>
          <w:b/>
          <w:bCs/>
          <w:i/>
          <w:iCs/>
          <w:szCs w:val="24"/>
          <w:lang w:eastAsia="es-CO"/>
        </w:rPr>
        <w:t> y </w:t>
      </w:r>
      <w:hyperlink r:id="rId23" w:tooltip="Estatuto Tributario CETA" w:history="1">
        <w:r w:rsidRPr="00872FDF">
          <w:rPr>
            <w:rFonts w:eastAsia="Times New Roman" w:cs="Times New Roman"/>
            <w:b/>
            <w:bCs/>
            <w:i/>
            <w:iCs/>
            <w:szCs w:val="24"/>
            <w:lang w:eastAsia="es-CO"/>
          </w:rPr>
          <w:t>387</w:t>
        </w:r>
      </w:hyperlink>
      <w:r w:rsidRPr="00872FDF">
        <w:rPr>
          <w:rFonts w:eastAsia="Times New Roman" w:cs="Times New Roman"/>
          <w:b/>
          <w:bCs/>
          <w:i/>
          <w:iCs/>
          <w:szCs w:val="24"/>
          <w:lang w:eastAsia="es-CO"/>
        </w:rPr>
        <w:t> del Estatuto Tributario y en los Decretos Reglamentarios números 0099 y 1070 de 2013</w:t>
      </w:r>
      <w:r w:rsidRPr="00872FDF">
        <w:rPr>
          <w:rFonts w:eastAsia="Times New Roman" w:cs="Times New Roman"/>
          <w:i/>
          <w:iCs/>
          <w:szCs w:val="24"/>
          <w:lang w:eastAsia="es-CO"/>
        </w:rPr>
        <w:t>” </w:t>
      </w:r>
      <w:r w:rsidRPr="00872FDF">
        <w:rPr>
          <w:rFonts w:eastAsia="Times New Roman" w:cs="Times New Roman"/>
          <w:szCs w:val="24"/>
          <w:lang w:eastAsia="es-CO"/>
        </w:rPr>
        <w:t>(negrilla fuera de texto).</w:t>
      </w:r>
    </w:p>
    <w:p w14:paraId="2AFE24C0"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72D4A6B3"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xml:space="preserve">En este orden de ideas, toda vez que corresponde a este Despacho determinar y mantener la unidad doctrinal, resulta necesario precisar la línea de interpretación previamente reseñada, pues la misma se fundó en un adecuado entendimiento del régimen de las personas naturales a raíz de las modificaciones introducidas por la reforma tributaria del año 2012 al impuesto sobre la renta y complementario, en particular, la asimilación para efectos fiscales de los asalariados y contratistas en tanto cumplan las condiciones para pertenecer a la categoría de </w:t>
      </w:r>
      <w:r w:rsidRPr="00872FDF">
        <w:rPr>
          <w:rFonts w:eastAsia="Times New Roman" w:cs="Times New Roman"/>
          <w:szCs w:val="24"/>
          <w:lang w:eastAsia="es-CO"/>
        </w:rPr>
        <w:lastRenderedPageBreak/>
        <w:t>empleado, lo cual conduce, para el presente asunto, a que en el cálculo de la base de retención en la fuente se apliquen las mismas deducciones.</w:t>
      </w:r>
    </w:p>
    <w:p w14:paraId="630C0FC5"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60C5E463"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Así las cosas, acorde con los antecedentes expuestos, es de colegir que es viable para la persona natural, clasificada como empleado acorde con el</w:t>
      </w:r>
      <w:r>
        <w:rPr>
          <w:rFonts w:eastAsia="Times New Roman" w:cs="Times New Roman"/>
          <w:szCs w:val="24"/>
          <w:lang w:eastAsia="es-CO"/>
        </w:rPr>
        <w:t xml:space="preserve"> </w:t>
      </w:r>
      <w:hyperlink r:id="rId24" w:tooltip="Estatuto Tributario CETA" w:history="1">
        <w:r w:rsidRPr="00872FDF">
          <w:rPr>
            <w:rFonts w:eastAsia="Times New Roman" w:cs="Times New Roman"/>
            <w:szCs w:val="24"/>
            <w:lang w:eastAsia="es-CO"/>
          </w:rPr>
          <w:t>artículo 329</w:t>
        </w:r>
      </w:hyperlink>
      <w:r w:rsidRPr="00872FDF">
        <w:rPr>
          <w:rFonts w:eastAsia="Times New Roman" w:cs="Times New Roman"/>
          <w:szCs w:val="24"/>
          <w:lang w:eastAsia="es-CO"/>
        </w:rPr>
        <w:t> del Estatuto Tributario, disminuir de la base de retención los pagos efectuados por concepto de dependientes. En consecuencia, se aclara la tesis jurídica expresada en el Oficio número 033105 del 18 de noviembre de 2015.</w:t>
      </w:r>
    </w:p>
    <w:p w14:paraId="22D7926B"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4318CE4A"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Atentamente,</w:t>
      </w:r>
    </w:p>
    <w:p w14:paraId="29AEC84C"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3146D62A"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szCs w:val="24"/>
          <w:lang w:eastAsia="es-CO"/>
        </w:rPr>
        <w:t> </w:t>
      </w:r>
    </w:p>
    <w:p w14:paraId="0592D8D6"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El Subdirector de Gestión Normativa y Doctrina (e),</w:t>
      </w:r>
    </w:p>
    <w:p w14:paraId="6D953978"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i/>
          <w:iCs/>
          <w:szCs w:val="24"/>
          <w:lang w:eastAsia="es-CO"/>
        </w:rPr>
        <w:t> </w:t>
      </w:r>
    </w:p>
    <w:p w14:paraId="10CAA57C"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i/>
          <w:iCs/>
          <w:szCs w:val="24"/>
          <w:lang w:eastAsia="es-CO"/>
        </w:rPr>
        <w:t>Pedro Pablo Contreras Camargo.</w:t>
      </w:r>
    </w:p>
    <w:p w14:paraId="493B474F"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i/>
          <w:iCs/>
          <w:szCs w:val="24"/>
          <w:lang w:eastAsia="es-CO"/>
        </w:rPr>
        <w:t> </w:t>
      </w:r>
    </w:p>
    <w:p w14:paraId="022B838F"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i/>
          <w:iCs/>
          <w:szCs w:val="24"/>
          <w:lang w:eastAsia="es-CO"/>
        </w:rPr>
        <w:t> </w:t>
      </w:r>
    </w:p>
    <w:p w14:paraId="5A62C0F7" w14:textId="77777777" w:rsidR="00872FDF" w:rsidRPr="00872FDF" w:rsidRDefault="00872FDF" w:rsidP="00872FDF">
      <w:pPr>
        <w:spacing w:after="0" w:line="240" w:lineRule="auto"/>
        <w:jc w:val="both"/>
        <w:rPr>
          <w:rFonts w:eastAsia="Times New Roman" w:cs="Times New Roman"/>
          <w:szCs w:val="24"/>
          <w:lang w:eastAsia="es-CO"/>
        </w:rPr>
      </w:pPr>
      <w:r w:rsidRPr="00872FDF">
        <w:rPr>
          <w:rFonts w:eastAsia="Times New Roman" w:cs="Times New Roman"/>
          <w:b/>
          <w:bCs/>
          <w:szCs w:val="24"/>
          <w:lang w:eastAsia="es-CO"/>
        </w:rPr>
        <w:t>Publicado en D.O. 49.773 del 1º de febrero de 2016.</w:t>
      </w:r>
    </w:p>
    <w:p w14:paraId="1991B088" w14:textId="77777777" w:rsidR="00872FDF" w:rsidRPr="00872FDF" w:rsidRDefault="00872FDF" w:rsidP="00872FDF">
      <w:pPr>
        <w:spacing w:after="285" w:line="240" w:lineRule="auto"/>
        <w:jc w:val="both"/>
        <w:rPr>
          <w:rFonts w:eastAsia="Times New Roman" w:cs="Times New Roman"/>
          <w:szCs w:val="24"/>
          <w:lang w:eastAsia="es-CO"/>
        </w:rPr>
      </w:pPr>
      <w:r w:rsidRPr="00872FDF">
        <w:rPr>
          <w:rFonts w:eastAsia="Times New Roman" w:cs="Times New Roman"/>
          <w:szCs w:val="24"/>
          <w:lang w:eastAsia="es-CO"/>
        </w:rPr>
        <w:t> </w:t>
      </w:r>
    </w:p>
    <w:p w14:paraId="052E1200" w14:textId="77777777" w:rsidR="00961BFA" w:rsidRPr="00872FDF" w:rsidRDefault="00961BFA">
      <w:pPr>
        <w:rPr>
          <w:rFonts w:cs="Times New Roman"/>
          <w:szCs w:val="24"/>
        </w:rPr>
      </w:pPr>
    </w:p>
    <w:sectPr w:rsidR="00961BFA" w:rsidRPr="00872FD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DF"/>
    <w:rsid w:val="000C2369"/>
    <w:rsid w:val="0029351E"/>
    <w:rsid w:val="00872FD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C748"/>
  <w15:chartTrackingRefBased/>
  <w15:docId w15:val="{30E1D8B0-0BC9-46BE-BFED-1B6A4E59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83" TargetMode="External"/><Relationship Id="rId13" Type="http://schemas.openxmlformats.org/officeDocument/2006/relationships/hyperlink" Target="http://www.ceta.org.co/html/vista_de_un_articulo.asp?Norma=480" TargetMode="External"/><Relationship Id="rId18" Type="http://schemas.openxmlformats.org/officeDocument/2006/relationships/hyperlink" Target="http://www.ceta.org.co/html/vista_de_un_articulo.asp?Norma=47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eta.org.co/html/vista_de_un_articulo.asp?Norma=476" TargetMode="External"/><Relationship Id="rId7" Type="http://schemas.openxmlformats.org/officeDocument/2006/relationships/hyperlink" Target="http://www.ceta.org.co/html/vista_de_un_articulo.asp?Norma=170"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7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476" TargetMode="External"/><Relationship Id="rId1" Type="http://schemas.openxmlformats.org/officeDocument/2006/relationships/styles" Target="styles.xml"/><Relationship Id="rId6" Type="http://schemas.openxmlformats.org/officeDocument/2006/relationships/hyperlink" Target="http://www.ceta.org.co/html/vista_de_un_articulo.asp?Norma=476" TargetMode="External"/><Relationship Id="rId11" Type="http://schemas.openxmlformats.org/officeDocument/2006/relationships/hyperlink" Target="http://www.ceta.org.co/html/vista_de_un_articulo.asp?Norma=476" TargetMode="External"/><Relationship Id="rId24" Type="http://schemas.openxmlformats.org/officeDocument/2006/relationships/hyperlink" Target="http://www.ceta.org.co/html/vista_de_un_articulo.asp?Norma=408" TargetMode="External"/><Relationship Id="rId5" Type="http://schemas.openxmlformats.org/officeDocument/2006/relationships/hyperlink" Target="http://www.ceta.org.co/html/vista_de_un_articulo.asp?Norma=480" TargetMode="External"/><Relationship Id="rId15" Type="http://schemas.openxmlformats.org/officeDocument/2006/relationships/hyperlink" Target="http://www.ceta.org.co/html/vista_de_un_articulo.asp?Norma=477" TargetMode="External"/><Relationship Id="rId23" Type="http://schemas.openxmlformats.org/officeDocument/2006/relationships/hyperlink" Target="http://www.ceta.org.co/html/vista_de_un_articulo.asp?Norma=480" TargetMode="External"/><Relationship Id="rId10" Type="http://schemas.openxmlformats.org/officeDocument/2006/relationships/hyperlink" Target="http://www.ceta.org.co/html/vista_de_un_articulo.asp?Norma=480" TargetMode="External"/><Relationship Id="rId19" Type="http://schemas.openxmlformats.org/officeDocument/2006/relationships/hyperlink" Target="http://www.ceta.org.co/html/vista_de_un_articulo.asp?Norma=477" TargetMode="External"/><Relationship Id="rId4" Type="http://schemas.openxmlformats.org/officeDocument/2006/relationships/hyperlink" Target="mailto:gcastrillon67@hotmail.com" TargetMode="External"/><Relationship Id="rId9" Type="http://schemas.openxmlformats.org/officeDocument/2006/relationships/hyperlink" Target="http://www.ceta.org.co/html/vista_de_un_articulo.asp?Norma=186" TargetMode="External"/><Relationship Id="rId14" Type="http://schemas.openxmlformats.org/officeDocument/2006/relationships/hyperlink" Target="http://www.ceta.org.co/html/vista_de_un_articulo.asp?Norma=477" TargetMode="External"/><Relationship Id="rId22" Type="http://schemas.openxmlformats.org/officeDocument/2006/relationships/hyperlink" Target="http://www.ceta.org.co/html/vista_de_un_articulo.asp?Norma=4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2016-02-05T19:05:00Z</dcterms:created>
  <dcterms:modified xsi:type="dcterms:W3CDTF">2016-02-05T19:05:00Z</dcterms:modified>
</cp:coreProperties>
</file>